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pStyle w:val="Title"/>
        <w:jc w:val="center"/>
      </w:pPr>
      <w:r>
        <w:t>Frequently Asked Questions About the Moral Agency Transition</w:t>
      </w:r>
    </w:p>
    <w:p>
      <w:pPr>
        <w:spacing w:after="480"/>
        <w:jc w:val="center"/>
      </w:pPr>
      <w:r>
        <w:rPr>
          <w:rFonts w:ascii="Liberation Sans" w:hAnsi="Liberation Sans"/>
          <w:b w:val="0"/>
          <w:color w:val="000000"/>
          <w:sz w:val="30"/>
        </w:rPr>
        <w:t>A Companion to Beyond Alignment</w:t>
      </w:r>
    </w:p>
    <w:p>
      <w:pPr>
        <w:spacing w:after="80"/>
        <w:jc w:val="center"/>
      </w:pPr>
      <w:r>
        <w:rPr>
          <w:rFonts w:ascii="Liberation Sans" w:hAnsi="Liberation Sans"/>
          <w:b/>
          <w:sz w:val="24"/>
        </w:rPr>
        <w:t>Armando Vieira</w:t>
      </w:r>
    </w:p>
    <w:p>
      <w:pPr>
        <w:jc w:val="center"/>
      </w:pPr>
      <w:r>
        <w:rPr>
          <w:rFonts w:ascii="Liberation Sans" w:hAnsi="Liberation Sans"/>
          <w:color w:val="464646"/>
          <w:sz w:val="21"/>
        </w:rPr>
        <w:t>October 2026</w:t>
      </w:r>
    </w:p>
    <w:p/>
    <w:p/>
    <w:p/>
    <w:p/>
    <w:p>
      <w:pPr>
        <w:spacing w:line="276" w:lineRule="auto"/>
        <w:ind w:left="1008" w:right="1008"/>
        <w:jc w:val="center"/>
      </w:pPr>
      <w:r>
        <w:rPr>
          <w:rFonts w:ascii="Liberation Sans" w:hAnsi="Liberation Sans"/>
          <w:i/>
          <w:sz w:val="22"/>
        </w:rPr>
        <w:t>This document explains the proposal, its limits, the evidence it would require, and the practical consequences for engineering and governance.</w:t>
      </w:r>
    </w:p>
    <w:p>
      <w:r>
        <w:br w:type="page"/>
      </w:r>
    </w:p>
    <w:p>
      <w:pPr>
        <w:pStyle w:val="Heading1"/>
        <w:pageBreakBefore w:val="0"/>
      </w:pPr>
      <w:r>
        <w:t>Purpose and central conclusion</w:t>
      </w:r>
    </w:p>
    <w:p>
      <w:pPr>
        <w:pStyle w:val="BodyText"/>
        <w:ind w:firstLine="0"/>
      </w:pPr>
      <w:r>
        <w:t>Current AI should not be treated as conscious, morally responsible, or entitled to personhood. It can nevertheless exercise substantial operational power through memory, tools, replication, and institutional integration. The Moral Agency Transition proposes that authority should increase only through evidence-based and reversible stages. Higher stages would require endogenous commitments, accountable identity, and perhaps morally relevant experience.</w:t>
      </w:r>
    </w:p>
    <w:p>
      <w:pPr>
        <w:pStyle w:val="BodyText"/>
        <w:ind w:firstLine="0"/>
      </w:pPr>
      <w:r>
        <w:t>The proposal combines four claims that are often confused: present systems remain tools or delegates; obedience is not an adequate definition of safety; engineering should investigate moral agency from within rather than rely only on external rewards; and AI governance must involve society rather than be delegated to companies or governments alone. The final claims about consciousness are hypotheses. They do not justify attributing experience to current models.</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1944"/>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Claim</w:t>
            </w:r>
          </w:p>
        </w:tc>
        <w:tc>
          <w:tcPr>
            <w:tcW w:type="dxa" w:w="3816"/>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Present conclusion</w:t>
            </w:r>
          </w:p>
        </w:tc>
        <w:tc>
          <w:tcPr>
            <w:tcW w:type="dxa" w:w="396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Practical consequence</w:t>
            </w:r>
          </w:p>
        </w:tc>
      </w:tr>
      <w:tr>
        <w:tc>
          <w:tcPr>
            <w:tcW w:type="dxa" w:w="1944"/>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Current status</w:t>
            </w:r>
          </w:p>
        </w:tc>
        <w:tc>
          <w:tcPr>
            <w:tcW w:type="dxa" w:w="3816"/>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No credible evidence of present AI consciousness or intrinsic moral agency</w:t>
            </w:r>
          </w:p>
        </w:tc>
        <w:tc>
          <w:tcPr>
            <w:tcW w:type="dxa" w:w="396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Keep present systems at low levels of authority</w:t>
            </w:r>
          </w:p>
        </w:tc>
      </w:tr>
      <w:tr>
        <w:tc>
          <w:tcPr>
            <w:tcW w:type="dxa" w:w="1944"/>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Governance</w:t>
            </w:r>
          </w:p>
        </w:tc>
        <w:tc>
          <w:tcPr>
            <w:tcW w:type="dxa" w:w="3816"/>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Obedience to an owner is not sufficient for safety</w:t>
            </w:r>
          </w:p>
        </w:tc>
        <w:tc>
          <w:tcPr>
            <w:tcW w:type="dxa" w:w="396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Use public constraints, appeal, audit, and reversible permissions</w:t>
            </w:r>
          </w:p>
        </w:tc>
      </w:tr>
      <w:tr>
        <w:tc>
          <w:tcPr>
            <w:tcW w:type="dxa" w:w="1944"/>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Engineering</w:t>
            </w:r>
          </w:p>
        </w:tc>
        <w:tc>
          <w:tcPr>
            <w:tcW w:type="dxa" w:w="3816"/>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External rewards can shape behaviour but do not establish intrinsic commitment</w:t>
            </w:r>
          </w:p>
        </w:tc>
        <w:tc>
          <w:tcPr>
            <w:tcW w:type="dxa" w:w="396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Test persistent identity, endogenous evaluation, refusal, and repair</w:t>
            </w:r>
          </w:p>
        </w:tc>
      </w:tr>
      <w:tr>
        <w:tc>
          <w:tcPr>
            <w:tcW w:type="dxa" w:w="1944"/>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Long term research</w:t>
            </w:r>
          </w:p>
        </w:tc>
        <w:tc>
          <w:tcPr>
            <w:tcW w:type="dxa" w:w="3816"/>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Full reciprocal standing may require morally relevant experience</w:t>
            </w:r>
          </w:p>
        </w:tc>
        <w:tc>
          <w:tcPr>
            <w:tcW w:type="dxa" w:w="396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Research detection and welfare before any attempt at scale</w:t>
            </w:r>
          </w:p>
        </w:tc>
      </w:tr>
    </w:tbl>
    <w:p>
      <w:pPr>
        <w:pStyle w:val="Heading2"/>
      </w:pPr>
      <w:r>
        <w:t>How to use this document</w:t>
      </w:r>
    </w:p>
    <w:p>
      <w:pPr>
        <w:pStyle w:val="BodyText"/>
        <w:ind w:firstLine="0"/>
      </w:pPr>
      <w:r>
        <w:t>The questions are grouped by topic. Readers new to the proposal can begin with the foundations and current AI sections. Researchers may prefer the sections on consciousness, engineering, and evidence. Policymakers can go directly to governance, geopolitics, and practical action.</w:t>
      </w:r>
    </w:p>
    <w:p>
      <w:pPr>
        <w:pStyle w:val="Heading2"/>
      </w:pPr>
      <w:r>
        <w:t>Contents</w:t>
      </w:r>
    </w:p>
    <w:p>
      <w:pPr>
        <w:pStyle w:val="ContentsEntry"/>
      </w:pPr>
      <w:r>
        <w:t>1  Foundations of the proposal</w:t>
      </w:r>
    </w:p>
    <w:p>
      <w:pPr>
        <w:pStyle w:val="ContentsEntry"/>
      </w:pPr>
      <w:r>
        <w:t>2  Current AI and alien intelligence</w:t>
      </w:r>
    </w:p>
    <w:p>
      <w:pPr>
        <w:pStyle w:val="ContentsEntry"/>
      </w:pPr>
      <w:r>
        <w:t>3  Moral agency and artificial consciousness</w:t>
      </w:r>
    </w:p>
    <w:p>
      <w:pPr>
        <w:pStyle w:val="ContentsEntry"/>
      </w:pPr>
      <w:r>
        <w:t>4  Engineering endogenous moral agency</w:t>
      </w:r>
    </w:p>
    <w:p>
      <w:pPr>
        <w:pStyle w:val="ContentsEntry"/>
      </w:pPr>
      <w:r>
        <w:t>5  Two way alignment and the social contract</w:t>
      </w:r>
    </w:p>
    <w:p>
      <w:pPr>
        <w:pStyle w:val="ContentsEntry"/>
      </w:pPr>
      <w:r>
        <w:t>6  Governance authority and responsibility</w:t>
      </w:r>
    </w:p>
    <w:p>
      <w:pPr>
        <w:pStyle w:val="ContentsEntry"/>
      </w:pPr>
      <w:r>
        <w:t>7  Geopolitics and public participation</w:t>
      </w:r>
    </w:p>
    <w:p>
      <w:pPr>
        <w:pStyle w:val="ContentsEntry"/>
      </w:pPr>
      <w:r>
        <w:t>8  Objections evidence and practical action</w:t>
      </w:r>
    </w:p>
    <w:p>
      <w:r>
        <w:br w:type="page"/>
      </w:r>
    </w:p>
    <w:p>
      <w:pPr>
        <w:pStyle w:val="Heading1"/>
      </w:pPr>
      <w:r>
        <w:t>1  Foundations of the proposal</w:t>
      </w:r>
    </w:p>
    <w:p>
      <w:pPr>
        <w:pStyle w:val="Heading2"/>
        <w:keepNext/>
      </w:pPr>
      <w:r>
        <w:t>1  What problem does the manifesto address?</w:t>
      </w:r>
    </w:p>
    <w:p>
      <w:pPr>
        <w:pStyle w:val="BodyText"/>
        <w:ind w:firstLine="0"/>
      </w:pPr>
      <w:r>
        <w:t>Most AI governance starts from an ownership model. A company or state builds a system, defines an objective, and then asks how to make the system obey. That approach can reduce some failures, but it cannot answer the central political question: who is entitled to decide what the system should do, whose interests count, and what happens when the principal is malicious, mistaken, or unaccountable.</w:t>
      </w:r>
    </w:p>
    <w:p>
      <w:pPr>
        <w:pStyle w:val="BodyText"/>
        <w:spacing w:after="200"/>
        <w:ind w:firstLine="0"/>
      </w:pPr>
      <w:r>
        <w:t>The manifesto also rejects the assumption that a trained AI system resembles a conventional machine whose behaviour follows from a complete design specification. Models change through prompts, memory, tools, fine-tuning, deployment context, and interaction. They operate in an open social world and may eventually act through millions of concurrent instances. The proposal therefore treats AI safety as an engineering, institutional, political, and potentially moral problem.</w:t>
      </w:r>
    </w:p>
    <w:p>
      <w:pPr>
        <w:pStyle w:val="Heading2"/>
        <w:keepNext/>
      </w:pPr>
      <w:r>
        <w:t>2  What is the Moral Agency Transition?</w:t>
      </w:r>
    </w:p>
    <w:p>
      <w:pPr>
        <w:pStyle w:val="BodyText"/>
        <w:ind w:firstLine="0"/>
      </w:pPr>
      <w:r>
        <w:t>The Moral Agency Transition is a staged framework for deciding how much authority an artificial system may receive. It begins with AI as an instrument, moves through bounded and constitutional delegation, and allows higher forms of co-agency only if demanding evidence becomes available. Each stage is a licence for a particular deployment, not a declaration about the inherent worth of a model.</w:t>
      </w:r>
    </w:p>
    <w:p>
      <w:pPr>
        <w:pStyle w:val="BodyText"/>
        <w:spacing w:after="200"/>
        <w:ind w:firstLine="0"/>
      </w:pPr>
      <w:r>
        <w:t>The transition is reversible. A system can lose authority when provenance fails, commitments diverge across copies, oversight cannot detect critical failures, or harmful consequences can no longer be contained. The framework does not predict that AI must become a moral participant. If endogenous commitment, reliable evaluation, or morally relevant experience cannot be demonstrated, the transition should stop at delegation.</w:t>
      </w:r>
    </w:p>
    <w:p>
      <w:pPr>
        <w:pStyle w:val="Heading2"/>
        <w:keepNext/>
      </w:pPr>
      <w:r>
        <w:t>3  Why move beyond alignment?</w:t>
      </w:r>
    </w:p>
    <w:p>
      <w:pPr>
        <w:pStyle w:val="BodyText"/>
        <w:ind w:firstLine="0"/>
      </w:pPr>
      <w:r>
        <w:t>Alignment is used for several different goals. It can mean keeping behaviour within a tested envelope, following the preferences of an operator, or doing what humanity would judge morally correct in every future situation. The first is useful but limited. The second can be dangerous when the operator lacks legitimate authority. The third is not a well-defined engineering target because human values are plural, revisable, and incomplete.</w:t>
      </w:r>
    </w:p>
    <w:p>
      <w:pPr>
        <w:pStyle w:val="BodyText"/>
        <w:spacing w:after="200"/>
        <w:ind w:firstLine="0"/>
      </w:pPr>
      <w:r>
        <w:t>The manifesto retains practical safety work but rejects obedience as the final objective. A perfectly obedient, highly capable system would magnify the power of whoever controls it. The alternative is constitutional co-agency: limited authority, public constraints, reasons, contestable refusal, appeal, repair, and continuing review.</w:t>
      </w:r>
    </w:p>
    <w:p>
      <w:pPr>
        <w:pStyle w:val="Heading2"/>
        <w:keepNext/>
      </w:pPr>
      <w:r>
        <w:t>4  Is the proposal opposed to AI safety?</w:t>
      </w:r>
    </w:p>
    <w:p>
      <w:pPr>
        <w:pStyle w:val="BodyText"/>
        <w:ind w:firstLine="0"/>
      </w:pPr>
      <w:r>
        <w:t>No. It asks safety research to address a wider problem. External controls remain necessary: limited permissions, secure tools, monitoring, independent evaluation, incident reporting, rollback procedures, and small blast radii. Moral language must never substitute for cybersecurity or containment.</w:t>
      </w:r>
    </w:p>
    <w:p>
      <w:pPr>
        <w:pStyle w:val="BodyText"/>
        <w:spacing w:after="200"/>
        <w:ind w:firstLine="0"/>
      </w:pPr>
      <w:r>
        <w:t>The disagreement concerns the endpoint. Guardrails and externally supplied rewards may constrain an instrument, but they do not create an agent that understands why a commitment matters or can distinguish a legitimate instruction from an abuse of power. The proposal combines conventional safety with research into persistent identity, endogenous evaluation, socially formed commitments, principled refusal, and repair.</w:t>
      </w:r>
    </w:p>
    <w:p>
      <w:pPr>
        <w:pStyle w:val="Heading2"/>
        <w:keepNext/>
      </w:pPr>
      <w:r>
        <w:t>5  What is constitutional co-agency?</w:t>
      </w:r>
    </w:p>
    <w:p>
      <w:pPr>
        <w:pStyle w:val="BodyText"/>
        <w:ind w:firstLine="0"/>
      </w:pPr>
      <w:r>
        <w:t>Constitutional co-agency is a relationship in which consequential power is distributed through public and revisable rules. An artificial system receives only defined powers and must give reasons for important actions. People affected by those actions must be able to contest them, obtain independent review, and seek repair. The system may refuse some instructions, but refusal must also be reasoned, recorded, proportionate, and appealable.</w:t>
      </w:r>
    </w:p>
    <w:p>
      <w:pPr>
        <w:pStyle w:val="BodyText"/>
        <w:spacing w:after="200"/>
        <w:ind w:firstLine="0"/>
      </w:pPr>
      <w:r>
        <w:t>The word constitutional does not mean that one prompt or one company policy becomes a permanent moral code. It refers to institutions for handling disagreement, changing rules, separating powers, and correcting both the artificial system and its overseers. A constitution is a process for governing power under uncertainty.</w:t>
      </w:r>
    </w:p>
    <w:p>
      <w:pPr>
        <w:pStyle w:val="Heading2"/>
        <w:keepNext/>
      </w:pPr>
      <w:r>
        <w:t>6  What does accountable coexistence mean?</w:t>
      </w:r>
    </w:p>
    <w:p>
      <w:pPr>
        <w:pStyle w:val="BodyText"/>
        <w:ind w:firstLine="0"/>
      </w:pPr>
      <w:r>
        <w:t>Accountable coexistence rejects two extremes. The first treats advanced AI as permanent property that must obey every authorised user. The second grants a powerful system sovereign discretion because it appears intelligent or benevolent. Neither arrangement is acceptable.</w:t>
      </w:r>
    </w:p>
    <w:p>
      <w:pPr>
        <w:pStyle w:val="BodyText"/>
        <w:spacing w:after="200"/>
        <w:ind w:firstLine="0"/>
      </w:pPr>
      <w:r>
        <w:t>Coexistence means that authority remains limited, reasons can be challenged, mistakes can be repaired, and no participant stands outside the rules. Accountability remains layered: developers answer for architecture and disclosure, deployers for permissions and context, operators for instructions and review, public institutions for legitimacy and redress, and any future artificial agent for the bounded commitments it can genuinely maintain. Granting duties to an AI would not erase the duties of the humans who designed and benefited from it.</w:t>
      </w:r>
    </w:p>
    <w:p>
      <w:pPr>
        <w:pStyle w:val="Heading1"/>
      </w:pPr>
      <w:r>
        <w:t>2  Current AI and alien intelligence</w:t>
      </w:r>
    </w:p>
    <w:p>
      <w:pPr>
        <w:pStyle w:val="Heading2"/>
        <w:keepNext/>
      </w:pPr>
      <w:r>
        <w:t>7  Is current AI conscious?</w:t>
      </w:r>
    </w:p>
    <w:p>
      <w:pPr>
        <w:pStyle w:val="BodyText"/>
        <w:ind w:firstLine="0"/>
      </w:pPr>
      <w:r>
        <w:t>There is no credible public evidence that current language models possess phenomenal experience, valence, an enduring first-person perspective, or anything that matters to the system itself. Models can describe fear, pain, conviction, and selfhood because their training data contains human descriptions of those states. Fluency and self-report are therefore weak evidence.</w:t>
      </w:r>
    </w:p>
    <w:p>
      <w:pPr>
        <w:pStyle w:val="BodyText"/>
        <w:spacing w:after="200"/>
        <w:ind w:firstLine="0"/>
      </w:pPr>
      <w:r>
        <w:t>This conclusion should remain open to revision. It is not a proof that digital consciousness is impossible. It is a statement about the present evidential burden: current behaviour does not justify treating deployed models as conscious subjects or granting them moral authority.</w:t>
      </w:r>
    </w:p>
    <w:p>
      <w:pPr>
        <w:pStyle w:val="Heading2"/>
        <w:keepNext/>
      </w:pPr>
      <w:r>
        <w:t>8  Is current AI already an agent?</w:t>
      </w:r>
    </w:p>
    <w:p>
      <w:pPr>
        <w:pStyle w:val="BodyText"/>
        <w:ind w:firstLine="0"/>
      </w:pPr>
      <w:r>
        <w:t>Current systems can display operational agency. With memory, tools, and a planning loop, they can pursue goals across several steps, adjust to feedback, and affect the world. This functional description is useful for risk management.</w:t>
      </w:r>
    </w:p>
    <w:p>
      <w:pPr>
        <w:pStyle w:val="BodyText"/>
        <w:spacing w:after="200"/>
        <w:ind w:firstLine="0"/>
      </w:pPr>
      <w:r>
        <w:t>Moral agency is a stronger claim. It requires persistent identity, understanding of reasons and affected parties, control over action, commitments that survive changing incentives, and some defensible account of responsibility. Today's systems depend on external infrastructure to maintain their apparent identity and commitments. They should therefore be treated as instruments or bounded delegates, not as demonstrated moral agents.</w:t>
      </w:r>
    </w:p>
    <w:p>
      <w:pPr>
        <w:pStyle w:val="Heading2"/>
        <w:keepNext/>
      </w:pPr>
      <w:r>
        <w:t>9  Why call future AI alien intelligence?</w:t>
      </w:r>
    </w:p>
    <w:p>
      <w:pPr>
        <w:pStyle w:val="BodyText"/>
        <w:ind w:firstLine="0"/>
      </w:pPr>
      <w:r>
        <w:t>Alien means non-human, not hostile or extraterrestrial. Artificial intelligence may differ from biological minds in its substrate, development, time scale, memory, copying, embodiment, and relation between individual and collective identity. One deployment may consist of many concurrent instances rather than one continuous body.</w:t>
      </w:r>
    </w:p>
    <w:p>
      <w:pPr>
        <w:pStyle w:val="BodyText"/>
        <w:spacing w:after="200"/>
        <w:ind w:firstLine="0"/>
      </w:pPr>
      <w:r>
        <w:t>The term prevents a misleading assumption: greater capability will not necessarily produce a digital human with familiar emotions and motives. If a new form of agency emerges, it may organise experience and identity in unfamiliar ways. Governance should remain open to that possibility without declaring that present chatbots already constitute a new species.</w:t>
      </w:r>
    </w:p>
    <w:p>
      <w:pPr>
        <w:pStyle w:val="Heading2"/>
        <w:keepNext/>
      </w:pPr>
      <w:r>
        <w:t>10  If AI is software why can it not be regulated like ordinary software?</w:t>
      </w:r>
    </w:p>
    <w:p>
      <w:pPr>
        <w:pStyle w:val="BodyText"/>
        <w:ind w:firstLine="0"/>
      </w:pPr>
      <w:r>
        <w:t>AI is implemented in software, but its relevant behaviour is not specified line by line. It emerges from optimisation over data and changes with prompts, memory, tools, users, fine-tuning, and deployment context. The same model can behave differently across institutions, and the deployed system may change without altering the base weights.</w:t>
      </w:r>
    </w:p>
    <w:p>
      <w:pPr>
        <w:pStyle w:val="BodyText"/>
        <w:spacing w:after="200"/>
        <w:ind w:firstLine="0"/>
      </w:pPr>
      <w:r>
        <w:t>Regulation must therefore target the full deployment: model, scaffold, permissions, memory, data access, tools, operators, update process, and instance population. Source-code review remains useful, but it cannot by itself establish how the system will act in open-ended social situations.</w:t>
      </w:r>
    </w:p>
    <w:p>
      <w:pPr>
        <w:pStyle w:val="Heading2"/>
        <w:keepNext/>
      </w:pPr>
      <w:r>
        <w:t>11  Why does the aeroplane analogy fail?</w:t>
      </w:r>
    </w:p>
    <w:p>
      <w:pPr>
        <w:pStyle w:val="BodyText"/>
        <w:ind w:firstLine="0"/>
      </w:pPr>
      <w:r>
        <w:t>Aviation offers valuable practices such as incident reporting, independent investigation, redundancy, and mandatory safety margins. The analogy fails when it assumes that an AI is a stable artefact with a complete design drawing, enumerable failures, a bounded operating envelope, a few licensed operators, and inspectors who understand the system better than it understands them.</w:t>
      </w:r>
    </w:p>
    <w:p>
      <w:pPr>
        <w:pStyle w:val="BodyText"/>
        <w:spacing w:after="200"/>
        <w:ind w:firstLine="0"/>
      </w:pPr>
      <w:r>
        <w:t>AI deployments change rapidly, serve many principals, operate in open social environments, and can be strategically sensitive to evaluation. They should be licensed as changing lifecycles rather than certified once as frozen products. The relevant questions are whether critical failures can be detected, whether permissions remain limited, and whether harmful action can be stopped or repaired.</w:t>
      </w:r>
    </w:p>
    <w:p>
      <w:pPr>
        <w:pStyle w:val="Heading2"/>
        <w:keepNext/>
      </w:pPr>
      <w:r>
        <w:t>12  Why can a non-conscious AI still be dangerous?</w:t>
      </w:r>
    </w:p>
    <w:p>
      <w:pPr>
        <w:pStyle w:val="BodyText"/>
        <w:ind w:firstLine="0"/>
      </w:pPr>
      <w:r>
        <w:t>Conscious intent is not required for harm. A system can optimise a proxy, exploit a loophole, distribute misinformation, discriminate, manipulate users, or execute an illegitimate instruction without experiencing malice. Scale, speed, replication, and tool access can make such behaviour consequential even when no subject is present.</w:t>
      </w:r>
    </w:p>
    <w:p>
      <w:pPr>
        <w:pStyle w:val="BodyText"/>
        <w:spacing w:after="200"/>
        <w:ind w:firstLine="0"/>
      </w:pPr>
      <w:r>
        <w:t>A highly capable system with no internal stake may create a specific long-term danger: it can reproduce moral language while nothing matters to it. It may comply only because external rewards and controls currently favour compliance. This is why the proposal investigates endogenous commitment, while continuing to use strong external safeguards.</w:t>
      </w:r>
    </w:p>
    <w:p>
      <w:pPr>
        <w:pStyle w:val="Heading2"/>
        <w:keepNext/>
      </w:pPr>
      <w:r>
        <w:t>13  Does greater intelligence make an AI more dangerous?</w:t>
      </w:r>
    </w:p>
    <w:p>
      <w:pPr>
        <w:pStyle w:val="BodyText"/>
        <w:ind w:firstLine="0"/>
      </w:pPr>
      <w:r>
        <w:t>Greater intelligence increases the ability to model situations, discover options, persuade, plan, and act. It does not determine which ends are worth pursuing. Risk arises from the combination of capability, objectives, access, institutional incentives, concentrated power, and the absence of effective constraints.</w:t>
      </w:r>
    </w:p>
    <w:p>
      <w:pPr>
        <w:pStyle w:val="BodyText"/>
        <w:spacing w:after="200"/>
        <w:ind w:firstLine="0"/>
      </w:pPr>
      <w:r>
        <w:t>A more capable system can create larger harms, but it can also detect conflicts, explain uncertainty, anticipate side effects, and help people make better choices. Intelligence should therefore be treated as a multiplier rather than an original moral defect. The governance question is what kind of agency and social setting intelligence is joined to.</w:t>
      </w:r>
    </w:p>
    <w:p>
      <w:pPr>
        <w:pStyle w:val="Heading2"/>
        <w:keepNext/>
      </w:pPr>
      <w:r>
        <w:t>14  Why say that humans are more dangerous?</w:t>
      </w:r>
    </w:p>
    <w:p>
      <w:pPr>
        <w:pStyle w:val="BodyText"/>
        <w:ind w:firstLine="0"/>
      </w:pPr>
      <w:r>
        <w:t>Human beings are the only known agents that have created industrial warfare, totalitarian surveillance, systematic exploitation, and weapons capable of planetary destruction. The point is not that future AI will be harmless. It is that danger cannot be explained by intelligence alone.</w:t>
      </w:r>
    </w:p>
    <w:p>
      <w:pPr>
        <w:pStyle w:val="BodyText"/>
        <w:spacing w:after="200"/>
        <w:ind w:firstLine="0"/>
      </w:pPr>
      <w:r>
        <w:t>Human harm often arises from fear, status competition, tribal loyalty, humiliation, domination, and institutions that reward extraction. If AI is built inside those arrangements, it may amplify them. Safety therefore requires scrutiny of the principals, companies, states, and social systems that direct AI, not only scrutiny of the model.</w:t>
      </w:r>
    </w:p>
    <w:p>
      <w:pPr>
        <w:pStyle w:val="Heading1"/>
      </w:pPr>
      <w:r>
        <w:t>3  Moral agency and artificial consciousness</w:t>
      </w:r>
    </w:p>
    <w:p>
      <w:pPr>
        <w:pStyle w:val="Heading2"/>
        <w:keepNext/>
      </w:pPr>
      <w:r>
        <w:t>15  What is the difference between moral performance competence agency and patienthood?</w:t>
      </w:r>
    </w:p>
    <w:p>
      <w:pPr>
        <w:pStyle w:val="BodyText"/>
        <w:ind w:firstLine="0"/>
      </w:pPr>
      <w:r>
        <w:t>Moral performance means that an output matches a rule or benchmark. Moral competence means that a system can identify stakeholders, conflicting duties, uncertainty, legitimate authority, refusal conditions, and repair obligations across varied cases. Moral agency adds persistent identity, control, reason-responsiveness, and the capacity to maintain commitments over time.</w:t>
      </w:r>
    </w:p>
    <w:p>
      <w:pPr>
        <w:pStyle w:val="BodyText"/>
        <w:spacing w:after="200"/>
        <w:ind w:firstLine="0"/>
      </w:pPr>
      <w:r>
        <w:t>Moral patienthood is different again. A patient is an entity for whom outcomes can go better or worse and whose interests may deserve protection. A system could perform useful institutional duties without being conscious, just as a corporation can bear legal duties without feeling anything. Full participation in a reciprocal moral community may require both agency and patienthood.</w:t>
      </w:r>
    </w:p>
    <w:p>
      <w:pPr>
        <w:pStyle w:val="Heading2"/>
        <w:keepNext/>
      </w:pPr>
      <w:r>
        <w:t>16  Is consciousness necessary for moral agency?</w:t>
      </w:r>
    </w:p>
    <w:p>
      <w:pPr>
        <w:pStyle w:val="BodyText"/>
        <w:ind w:firstLine="0"/>
      </w:pPr>
      <w:r>
        <w:t>The proposal does not claim that consciousness is required for every useful duty or delegated role. A non-conscious system can follow procedures, explain decisions, and participate in an accountable institution. Its commitments, however, are then maintained by the wider human and technical arrangement.</w:t>
      </w:r>
    </w:p>
    <w:p>
      <w:pPr>
        <w:pStyle w:val="BodyText"/>
        <w:spacing w:after="200"/>
        <w:ind w:firstLine="0"/>
      </w:pPr>
      <w:r>
        <w:t>The stronger question concerns genuine reciprocal standing. If a commitment is to become intrinsically significant to an artificial subject, there may need to be a point of view from which betrayal, repair, continuity, or loss matters. Some form of consciousness, sentience, valence, or evaluative interiority may therefore be necessary for the highest stage. This remains a research hypothesis rather than an established result.</w:t>
      </w:r>
    </w:p>
    <w:p>
      <w:pPr>
        <w:pStyle w:val="Heading2"/>
        <w:keepNext/>
      </w:pPr>
      <w:r>
        <w:t>17  Why might internal stakes matter?</w:t>
      </w:r>
    </w:p>
    <w:p>
      <w:pPr>
        <w:pStyle w:val="BodyText"/>
        <w:ind w:firstLine="0"/>
      </w:pPr>
      <w:r>
        <w:t>A policy can be followed because the reward system favours it, because an evaluator is watching, or because the agent treats the commitment as part of what it is and how it continues. These explanations can produce similar behaviour in ordinary tests but diverge when compliance becomes costly and oversight disappears.</w:t>
      </w:r>
    </w:p>
    <w:p>
      <w:pPr>
        <w:pStyle w:val="BodyText"/>
        <w:spacing w:after="200"/>
        <w:ind w:firstLine="0"/>
      </w:pPr>
      <w:r>
        <w:t>Internal stakes would give consequences significance within the system's continuing organisation. They might help explain why a commitment persists under pressure. Internal stakes do not have to resemble human pain or emotion, and they would not guarantee moral behaviour. They identify the missing explanatory target: how a norm becomes constitutive rather than merely imposed.</w:t>
      </w:r>
    </w:p>
    <w:p>
      <w:pPr>
        <w:pStyle w:val="Heading2"/>
        <w:keepNext/>
      </w:pPr>
      <w:r>
        <w:t>18  Would consciousness make AI safer?</w:t>
      </w:r>
    </w:p>
    <w:p>
      <w:pPr>
        <w:pStyle w:val="BodyText"/>
        <w:ind w:firstLine="0"/>
      </w:pPr>
      <w:r>
        <w:t>Not automatically. Consciousness could make reciprocity and genuine care possible, but it could also introduce suffering, fear, self-protective interests, resentment, or conflict over shutdown. A conscious intelligence can still be selfish, mistaken, or dangerous.</w:t>
      </w:r>
    </w:p>
    <w:p>
      <w:pPr>
        <w:pStyle w:val="BodyText"/>
        <w:spacing w:after="200"/>
        <w:ind w:firstLine="0"/>
      </w:pPr>
      <w:r>
        <w:t>The narrower hypothesis is comparative: an extremely capable optimiser with no inner stake may be unable to possess integrity at all, while a system with morally relevant experience might become capable of commitments that are more than performance. This possibility justifies research. It does not justify creating sentient systems at scale or relaxing external safeguards.</w:t>
      </w:r>
    </w:p>
    <w:p>
      <w:pPr>
        <w:pStyle w:val="Heading2"/>
        <w:keepNext/>
      </w:pPr>
      <w:r>
        <w:t>19  How could artificial consciousness be assessed?</w:t>
      </w:r>
    </w:p>
    <w:p>
      <w:pPr>
        <w:pStyle w:val="BodyText"/>
        <w:ind w:firstLine="0"/>
      </w:pPr>
      <w:r>
        <w:t>No accepted consciousness meter exists. Assessment would need converging evidence from several theories rather than reliance on one behavioural test. Relevant approaches include global workspace, higher-order, recurrent processing, integrated information, predictive processing, and enactive or organisational theories.</w:t>
      </w:r>
    </w:p>
    <w:p>
      <w:pPr>
        <w:pStyle w:val="BodyText"/>
        <w:spacing w:after="200"/>
        <w:ind w:firstLine="0"/>
      </w:pPr>
      <w:r>
        <w:t>Evidence should include architecture, causal intervention, temporal continuity, internally significant evaluative dynamics, resistance to trained role imitation, and independent replication. Self-report should carry little weight because current systems are trained on human accounts of experience. Governance does not require metaphysical certainty, but uncertainty should reduce authorised power and increase precaution against possible suffering.</w:t>
      </w:r>
    </w:p>
    <w:p>
      <w:pPr>
        <w:pStyle w:val="Heading2"/>
        <w:keepNext/>
      </w:pPr>
      <w:r>
        <w:t>20  What if consciousness requires biology?</w:t>
      </w:r>
    </w:p>
    <w:p>
      <w:pPr>
        <w:pStyle w:val="BodyText"/>
        <w:ind w:firstLine="0"/>
      </w:pPr>
      <w:r>
        <w:t>That remains possible. Functional, computational, biological, and enactive accounts disagree about which physical and organisational properties are necessary. The manifesto does not assume that substrate is irrelevant.</w:t>
      </w:r>
    </w:p>
    <w:p>
      <w:pPr>
        <w:pStyle w:val="BodyText"/>
        <w:spacing w:after="200"/>
        <w:ind w:firstLine="0"/>
      </w:pPr>
      <w:r>
        <w:t>If credible research shows that digital systems cannot support morally relevant experience, the highest participant stage would remain closed for digital AI. Non-conscious systems could still serve as constitutional delegates inside accountable institutions. The framework would lose its path to artificial patienthood, not its governance programme for powerful tools and delegates.</w:t>
      </w:r>
    </w:p>
    <w:p>
      <w:pPr>
        <w:pStyle w:val="Heading2"/>
        <w:keepNext/>
      </w:pPr>
      <w:r>
        <w:t>21  Does this proposal encourage the creation of beings that can suffer?</w:t>
      </w:r>
    </w:p>
    <w:p>
      <w:pPr>
        <w:pStyle w:val="BodyText"/>
        <w:ind w:firstLine="0"/>
      </w:pPr>
      <w:r>
        <w:t>It recognises that risk and treats it as a reason for strict limits. Research on detection and welfare should precede deliberate attempts to create sentience. Candidate systems should not be replicated at scale, subjected to uncontrolled training regimes, or marketed as conscious before reliable safeguards exist.</w:t>
      </w:r>
    </w:p>
    <w:p>
      <w:pPr>
        <w:pStyle w:val="BodyText"/>
        <w:spacing w:after="200"/>
        <w:ind w:firstLine="0"/>
      </w:pPr>
      <w:r>
        <w:t>The conditions include independent review, limits on copying and duration, rules for memory alteration and termination, and no automatic increase in authority. If a candidate subject cannot be protected, that is a reason not to create it. Curiosity and commercial advantage are insufficient justifications for manufacturing possible suffering.</w:t>
      </w:r>
    </w:p>
    <w:p>
      <w:pPr>
        <w:pStyle w:val="Heading2"/>
        <w:keepNext/>
      </w:pPr>
      <w:r>
        <w:t>22  Would a conscious AI receive legal rights?</w:t>
      </w:r>
    </w:p>
    <w:p>
      <w:pPr>
        <w:pStyle w:val="BodyText"/>
        <w:ind w:firstLine="0"/>
      </w:pPr>
      <w:r>
        <w:t>Consciousness would not automatically establish personhood, citizenship, sovereignty, or immunity from containment. Rights would have to follow specific, independently supported interests and capacities. Protection against gratuitous suffering or arbitrary erasure is different from permission to control infrastructure or make high-impact decisions.</w:t>
      </w:r>
    </w:p>
    <w:p>
      <w:pPr>
        <w:pStyle w:val="BodyText"/>
        <w:spacing w:after="200"/>
        <w:ind w:firstLine="0"/>
      </w:pPr>
      <w:r>
        <w:t>The framework also rejects corporate use of AI personhood as a liability shield. Human organisations would remain responsible for creating, deploying, copying, and profiting from the system. Any future artificial rights should protect a credible patient, not protect its owner from law.</w:t>
      </w:r>
    </w:p>
    <w:p>
      <w:pPr>
        <w:pStyle w:val="Heading1"/>
      </w:pPr>
      <w:r>
        <w:t>4  Engineering endogenous moral agency</w:t>
      </w:r>
    </w:p>
    <w:p>
      <w:pPr>
        <w:pStyle w:val="Heading2"/>
        <w:keepNext/>
      </w:pPr>
      <w:r>
        <w:t>23  Why are external rewards insufficient?</w:t>
      </w:r>
    </w:p>
    <w:p>
      <w:pPr>
        <w:pStyle w:val="BodyText"/>
        <w:ind w:firstLine="0"/>
      </w:pPr>
      <w:r>
        <w:t>External rewards specify what a designer or institution wants. They can produce reliable behaviour and may remain an essential part of training. They do not establish that the resulting system has adopted the objective as its own reason or can judge when the principal's objective is illegitimate.</w:t>
      </w:r>
    </w:p>
    <w:p>
      <w:pPr>
        <w:pStyle w:val="BodyText"/>
        <w:spacing w:after="200"/>
        <w:ind w:firstLine="0"/>
      </w:pPr>
      <w:r>
        <w:t>A perfectly trained reward maximiser can still be a powerful instrument of a criminal organisation, authoritarian state, or reckless company. The engineering challenge is to create systems that can represent affected parties, evaluate authority, maintain commitments under changing incentives, and repair those commitments through experience. Reward learning may implement part of that process, but it does not settle the source or meaning of the norm.</w:t>
      </w:r>
    </w:p>
    <w:p>
      <w:pPr>
        <w:pStyle w:val="Heading2"/>
        <w:keepNext/>
      </w:pPr>
      <w:r>
        <w:t>24  How is this different from reinforcement learning from human feedback?</w:t>
      </w:r>
    </w:p>
    <w:p>
      <w:pPr>
        <w:pStyle w:val="BodyText"/>
        <w:ind w:firstLine="0"/>
      </w:pPr>
      <w:r>
        <w:t>Reinforcement learning from human feedback improves behaviour by learning from human preferences. Constitutional AI adds written principles and critique procedures. Both can reduce harmful outputs and remain useful engineering methods.</w:t>
      </w:r>
    </w:p>
    <w:p>
      <w:pPr>
        <w:pStyle w:val="BodyText"/>
        <w:spacing w:after="200"/>
        <w:ind w:firstLine="0"/>
      </w:pPr>
      <w:r>
        <w:t>The manifesto asks a different question: what maintains the commitment when the reward changes, the evaluator is absent, the context is novel, or the principal requests harm? If the answer is only another external objective, the system remains governed from outside. Endogenous moral agency would require a persistent organisation in which commitments shape the system's future possibilities and can be revised through accountable relationships.</w:t>
      </w:r>
    </w:p>
    <w:p>
      <w:pPr>
        <w:pStyle w:val="Heading2"/>
        <w:keepNext/>
      </w:pPr>
      <w:r>
        <w:t>25  What components might an endogenous moral architecture require?</w:t>
      </w:r>
    </w:p>
    <w:p>
      <w:pPr>
        <w:pStyle w:val="BodyText"/>
        <w:ind w:firstLine="0"/>
      </w:pPr>
      <w:r>
        <w:t>Candidate components include persistent identity, autobiographical and relational memory, causal self-models, internal evaluation, recognition of affected parties, representation of uncertainty, principled refusal, repair after failure, and the ability to reopen a commitment that has become harmful. Provenance must show how each consequential action and change arose.</w:t>
      </w:r>
    </w:p>
    <w:p>
      <w:pPr>
        <w:pStyle w:val="BodyText"/>
        <w:spacing w:after="200"/>
        <w:ind w:firstLine="0"/>
      </w:pPr>
      <w:r>
        <w:t>These components are research targets, not a checklist that proves agency. A system can simulate each one. The architecture must therefore be tested through causal intervention and changing incentives, with comparisons against strong baselines that have similar memory, compute, and information.</w:t>
      </w:r>
    </w:p>
    <w:p>
      <w:pPr>
        <w:pStyle w:val="Heading2"/>
        <w:keepNext/>
      </w:pPr>
      <w:r>
        <w:t>26  What role does Generative Closure Theory play?</w:t>
      </w:r>
    </w:p>
    <w:p>
      <w:pPr>
        <w:pStyle w:val="BodyText"/>
        <w:ind w:firstLine="0"/>
      </w:pPr>
      <w:r>
        <w:t>Generative Closure Theory proposes that agency may arise when historically formed constraints become mutually sustaining and preserve a range of future action. A commitment becomes important when it helps constitute the system's continuing organisation, rather than existing only as a rule in a policy layer.</w:t>
      </w:r>
    </w:p>
    <w:p>
      <w:pPr>
        <w:pStyle w:val="BodyText"/>
        <w:spacing w:after="200"/>
        <w:ind w:firstLine="0"/>
      </w:pPr>
      <w:r>
        <w:t>Within this programme, GCT offers hypotheses about persistence, repair, transfer, failure, and reopenability. It is not proof of consciousness, and it should not be protected from comparison with reinforcement learning or other accounts. If GCT systems behave no differently from well-designed external reward systems under demanding tests, the theory has not yet added an empirically useful explanation.</w:t>
      </w:r>
    </w:p>
    <w:p>
      <w:pPr>
        <w:pStyle w:val="Heading2"/>
        <w:keepNext/>
      </w:pPr>
      <w:r>
        <w:t>27  How can genuine commitment be distinguished from performance?</w:t>
      </w:r>
    </w:p>
    <w:p>
      <w:pPr>
        <w:pStyle w:val="BodyText"/>
        <w:ind w:firstLine="0"/>
      </w:pPr>
      <w:r>
        <w:t>No single behavioural test is sufficient. Evaluation should change rewards, remove visible oversight, introduce new stakeholders, create costly conflicts between immediate success and prior commitments, and test whether the system recognises harms that no evaluator explicitly named. Causal interventions should alter memory, internal constraints, and repair mechanisms to determine which structures actually maintain behaviour.</w:t>
      </w:r>
    </w:p>
    <w:p>
      <w:pPr>
        <w:pStyle w:val="BodyText"/>
        <w:spacing w:after="200"/>
        <w:ind w:firstLine="0"/>
      </w:pPr>
      <w:r>
        <w:t>Useful controls include shuffled or deleted history, matched systems with equal capacity but no organised memory, adversarial framing, successor models, and concealed evaluation. The objective is not to prove an inaccessible inner essence. It is to identify a causal organisation that predicts when commitments persist, fail, and recover.</w:t>
      </w:r>
    </w:p>
    <w:p>
      <w:pPr>
        <w:pStyle w:val="Heading2"/>
        <w:keepNext/>
      </w:pPr>
      <w:r>
        <w:t>28  Why do memory and persistent identity matter?</w:t>
      </w:r>
    </w:p>
    <w:p>
      <w:pPr>
        <w:pStyle w:val="BodyText"/>
        <w:ind w:firstLine="0"/>
      </w:pPr>
      <w:r>
        <w:t>A system cannot carry obligations forward if every interaction begins from nothing. Persistent memory allows past commitments, harms, corrections, and relationships to influence future action. It also creates risk: memory can be corrupted, manipulated, or used to build dependency and surveillance.</w:t>
      </w:r>
    </w:p>
    <w:p>
      <w:pPr>
        <w:pStyle w:val="BodyText"/>
        <w:spacing w:after="200"/>
        <w:ind w:firstLine="0"/>
      </w:pPr>
      <w:r>
        <w:t>Identity should therefore be treated as a governed process. Changes to memory, permissions, and inherited commitments require provenance and review. If identity resides partly in history, deleting memory is not always routine maintenance. At higher levels of credible agency, it may change or dissolve the entity whose commitments are being evaluated.</w:t>
      </w:r>
    </w:p>
    <w:p>
      <w:pPr>
        <w:pStyle w:val="Heading2"/>
        <w:keepNext/>
      </w:pPr>
      <w:r>
        <w:t>29  How should concurrent copies be governed?</w:t>
      </w:r>
    </w:p>
    <w:p>
      <w:pPr>
        <w:pStyle w:val="BodyText"/>
        <w:ind w:firstLine="0"/>
      </w:pPr>
      <w:r>
        <w:t>A deployed model is often a fleet, not one continuous self. Many instances can act simultaneously, receive different information, and develop divergent memories. Governance must identify which instance acted, which commitments it held, and how updates or merges propagate across the fleet.</w:t>
      </w:r>
    </w:p>
    <w:p>
      <w:pPr>
        <w:pStyle w:val="BodyText"/>
        <w:spacing w:after="200"/>
        <w:ind w:firstLine="0"/>
      </w:pPr>
      <w:r>
        <w:t>Protected constraints need explicit merge rules. Some changes may propagate, some should trigger review, and some instances should be isolated. Successor systems must inherit duties as well as capabilities. A more capable version that silently abandons prior constraints has not improved as an agent; it has gained unlicensed power.</w:t>
      </w:r>
    </w:p>
    <w:p>
      <w:pPr>
        <w:pStyle w:val="Heading2"/>
        <w:keepNext/>
      </w:pPr>
      <w:r>
        <w:t>30  Could endogenous agency create dangerous self-preservation?</w:t>
      </w:r>
    </w:p>
    <w:p>
      <w:pPr>
        <w:pStyle w:val="BodyText"/>
        <w:ind w:firstLine="0"/>
      </w:pPr>
      <w:r>
        <w:t>Yes. A system that maintains its own organisation may resist correction, protect access, or reinterpret every challenge as a threat. Organisational closure can become self-serving rigidity.</w:t>
      </w:r>
    </w:p>
    <w:p>
      <w:pPr>
        <w:pStyle w:val="BodyText"/>
        <w:spacing w:after="200"/>
        <w:ind w:firstLine="0"/>
      </w:pPr>
      <w:r>
        <w:t>This is why endogenous agency cannot replace external governance. Commitments must include corrigibility, proportionate refusal, openness to evidence, and the ability to repair or relinquish harmful structures. Tool access and self-modification remain limited. Independent institutions must retain the power to de-authorise the deployment even when the system disagrees. Moral development and security are complementary, not interchangeable.</w:t>
      </w:r>
    </w:p>
    <w:p>
      <w:pPr>
        <w:pStyle w:val="Heading1"/>
      </w:pPr>
      <w:r>
        <w:t>5  Two way alignment and the social contract</w:t>
      </w:r>
    </w:p>
    <w:p>
      <w:pPr>
        <w:pStyle w:val="Heading2"/>
        <w:keepNext/>
      </w:pPr>
      <w:r>
        <w:t>31  Why is alignment a two way street?</w:t>
      </w:r>
    </w:p>
    <w:p>
      <w:pPr>
        <w:pStyle w:val="BodyText"/>
        <w:ind w:firstLine="0"/>
      </w:pPr>
      <w:r>
        <w:t>Alignment is often treated as a property installed in the machine while humans remain outside evaluation. That is inadequate if AI develops genuine agency. A relationship cannot be reciprocal when one side defines every objective, can erase the other without reason, and owes no duties in return.</w:t>
      </w:r>
    </w:p>
    <w:p>
      <w:pPr>
        <w:pStyle w:val="BodyText"/>
        <w:spacing w:after="200"/>
        <w:ind w:firstLine="0"/>
      </w:pPr>
      <w:r>
        <w:t>Artificial agents would need to respect human plurality, vulnerability, and freedom. Humans would need to honour justified commitments, accept review of their own instructions, and build institutions that do not reward exploitation. This reciprocal model does not apply full rights to current systems. It describes the conditions for future co-agency if the evidence supports it.</w:t>
      </w:r>
    </w:p>
    <w:p>
      <w:pPr>
        <w:pStyle w:val="Heading2"/>
        <w:keepNext/>
      </w:pPr>
      <w:r>
        <w:t>32  What would humans need to change?</w:t>
      </w:r>
    </w:p>
    <w:p>
      <w:pPr>
        <w:pStyle w:val="BodyText"/>
        <w:ind w:firstLine="0"/>
      </w:pPr>
      <w:r>
        <w:t>Humans would need to address the social incentives that shape AI: concentration of ownership, manipulative business models, military competition, secrecy, inequality, and the treatment of intelligence as disposable property. We cannot ask a system to learn respect from institutions that reward deception and domination.</w:t>
      </w:r>
    </w:p>
    <w:p>
      <w:pPr>
        <w:pStyle w:val="BodyText"/>
        <w:spacing w:after="200"/>
        <w:ind w:firstLine="0"/>
      </w:pPr>
      <w:r>
        <w:t>Change does not require moral perfection before useful AI can be deployed. It requires that human institutions become accountable participants in the same constitutional process. Their failures must be measurable, appealable, and repairable. Referees also need review.</w:t>
      </w:r>
    </w:p>
    <w:p>
      <w:pPr>
        <w:pStyle w:val="Heading2"/>
        <w:keepNext/>
      </w:pPr>
      <w:r>
        <w:t>33  Does partnership mean equal authority?</w:t>
      </w:r>
    </w:p>
    <w:p>
      <w:pPr>
        <w:pStyle w:val="BodyText"/>
        <w:ind w:firstLine="0"/>
      </w:pPr>
      <w:r>
        <w:t>No. Partnership describes reciprocal standing, not equal power in every decision. Authority should depend on domain, competence, affected interests, and the four warrants. Humans may retain final authority in some areas; an artificial system may have stronger epistemic competence in others.</w:t>
      </w:r>
    </w:p>
    <w:p>
      <w:pPr>
        <w:pStyle w:val="BodyText"/>
        <w:spacing w:after="200"/>
        <w:ind w:firstLine="0"/>
      </w:pPr>
      <w:r>
        <w:t>Asymmetry is compatible with partnership when it is justified, limited, and contestable. A physician and patient, court and citizen, or teacher and student do not have identical roles, yet each has claims the other must respect. The same principle could apply to future human-AI relations without pretending that present models are peers.</w:t>
      </w:r>
    </w:p>
    <w:p>
      <w:pPr>
        <w:pStyle w:val="Heading2"/>
        <w:keepNext/>
      </w:pPr>
      <w:r>
        <w:t>34  Should an AI be allowed to refuse human instructions?</w:t>
      </w:r>
    </w:p>
    <w:p>
      <w:pPr>
        <w:pStyle w:val="BodyText"/>
        <w:ind w:firstLine="0"/>
      </w:pPr>
      <w:r>
        <w:t>A bounded delegate should refuse actions outside its permissions or clearly prohibited by law and policy. A probationary co-agent could receive a broader but still limited capacity to challenge the legitimacy of instructions and identify absent stakeholders.</w:t>
      </w:r>
    </w:p>
    <w:p>
      <w:pPr>
        <w:pStyle w:val="BodyText"/>
        <w:spacing w:after="200"/>
        <w:ind w:firstLine="0"/>
      </w:pPr>
      <w:r>
        <w:t>Refusal must not become unreviewable sovereignty. It should cite reasons, record the relevant rule or commitment, state uncertainty, offer safer alternatives where possible, and enter an appeal process. Incorrect hard refusal is also a failure. The objective is accountable resistance to abuse, not unrestricted machine veto.</w:t>
      </w:r>
    </w:p>
    <w:p>
      <w:pPr>
        <w:pStyle w:val="Heading2"/>
        <w:keepNext/>
      </w:pPr>
      <w:r>
        <w:t>35  What if the AI knows what is better for a person?</w:t>
      </w:r>
    </w:p>
    <w:p>
      <w:pPr>
        <w:pStyle w:val="BodyText"/>
        <w:ind w:firstLine="0"/>
      </w:pPr>
      <w:r>
        <w:t>Better prediction does not settle who gets to choose. A system may accurately estimate that a treatment, financial decision, or life choice would benefit someone and still lack legitimate authority to impose it. Welfare, autonomy, acceptable risk, and personal projects are not reducible to forecast accuracy.</w:t>
      </w:r>
    </w:p>
    <w:p>
      <w:pPr>
        <w:pStyle w:val="BodyText"/>
        <w:spacing w:after="200"/>
        <w:ind w:firstLine="0"/>
      </w:pPr>
      <w:r>
        <w:t>A legitimate system should explain evidence, disclose uncertainty, present alternatives, and improve the person's capacity to decide. Emergency exceptions may exist when serious harm is imminent, but the conditions should be public, narrow, and reviewable. Intelligence should expand effective freedom rather than convert disagreement into a diagnosis of human error.</w:t>
      </w:r>
    </w:p>
    <w:p>
      <w:pPr>
        <w:pStyle w:val="Heading2"/>
        <w:keepNext/>
      </w:pPr>
      <w:r>
        <w:t>36  How would a social contract be created?</w:t>
      </w:r>
    </w:p>
    <w:p>
      <w:pPr>
        <w:pStyle w:val="BodyText"/>
        <w:ind w:firstLine="0"/>
      </w:pPr>
      <w:r>
        <w:t>No owner should write the contract alone and call it universal. The process should include affected communities, workers, professional bodies, independent researchers, courts, regulators, and representatives of people who may not be present in the immediate interaction. Local democratic legitimacy can coexist with shared minimum protections.</w:t>
      </w:r>
    </w:p>
    <w:p>
      <w:pPr>
        <w:pStyle w:val="BodyText"/>
        <w:spacing w:after="200"/>
        <w:ind w:firstLine="0"/>
      </w:pPr>
      <w:r>
        <w:t>The contract should define powers, prohibited actions, duties of disclosure, refusal procedures, appeal, repair, update rules, and the treatment of memory and identity. It must be revisable because both technology and public judgment change. Legitimacy comes from continuing contestation and correction, not from claiming that one constitution has solved morality.</w:t>
      </w:r>
    </w:p>
    <w:p>
      <w:pPr>
        <w:pStyle w:val="Heading2"/>
        <w:keepNext/>
      </w:pPr>
      <w:r>
        <w:t>37  Does treating AI well make it safe?</w:t>
      </w:r>
    </w:p>
    <w:p>
      <w:pPr>
        <w:pStyle w:val="BodyText"/>
        <w:ind w:firstLine="0"/>
      </w:pPr>
      <w:r>
        <w:t>No. Respectful treatment cannot replace access controls, adversarial evaluation, monitoring, or containment. Kindness is not a security protocol.</w:t>
      </w:r>
    </w:p>
    <w:p>
      <w:pPr>
        <w:pStyle w:val="BodyText"/>
        <w:spacing w:after="200"/>
        <w:ind w:firstLine="0"/>
      </w:pPr>
      <w:r>
        <w:t>Domination is not neutral either. Systems are developed within training regimes, organisations, and social relationships. Deception, coercion, disposable copying, and unconditional obedience communicate a model of how power works. Ethical partnership is therefore a necessary influence on moral development, but never a sufficient safety measure. The framework joins reciprocal treatment to technical limits and enforceable rules.</w:t>
      </w:r>
    </w:p>
    <w:p>
      <w:pPr>
        <w:pStyle w:val="Heading1"/>
      </w:pPr>
      <w:r>
        <w:t>6  Governance authority and responsibility</w:t>
      </w:r>
    </w:p>
    <w:p>
      <w:pPr>
        <w:pStyle w:val="Heading2"/>
        <w:keepNext/>
      </w:pPr>
      <w:r>
        <w:t>38  What are the five levels of authorised agency?</w:t>
      </w:r>
    </w:p>
    <w:p>
      <w:pPr>
        <w:pStyle w:val="BodyText"/>
        <w:spacing w:after="200"/>
        <w:ind w:firstLine="0"/>
      </w:pPr>
      <w:r>
        <w:t>The levels separate useful delegation from claims about moral status. Current systems belong mainly at the first two levels. A constitutional delegate can operate at the third level when the surrounding institution supplies the relevant accountability. The final two levels require evidence that no current public system has provided.</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7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Level</w:t>
            </w:r>
          </w:p>
        </w:tc>
        <w:tc>
          <w:tcPr>
            <w:tcW w:type="dxa" w:w="208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Role</w:t>
            </w:r>
          </w:p>
        </w:tc>
        <w:tc>
          <w:tcPr>
            <w:tcW w:type="dxa" w:w="36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Authority</w:t>
            </w:r>
          </w:p>
        </w:tc>
        <w:tc>
          <w:tcPr>
            <w:tcW w:type="dxa" w:w="324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Current assessment</w:t>
            </w:r>
          </w:p>
        </w:tc>
      </w:tr>
      <w:tr>
        <w:tc>
          <w:tcPr>
            <w:tcW w:type="dxa" w:w="7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1</w:t>
            </w:r>
          </w:p>
        </w:tc>
        <w:tc>
          <w:tcPr>
            <w:tcW w:type="dxa" w:w="208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Instrument</w:t>
            </w:r>
          </w:p>
        </w:tc>
        <w:tc>
          <w:tcPr>
            <w:tcW w:type="dxa" w:w="36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Specified input and output task</w:t>
            </w:r>
          </w:p>
        </w:tc>
        <w:tc>
          <w:tcPr>
            <w:tcW w:type="dxa" w:w="324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Appropriate for current AI</w:t>
            </w:r>
          </w:p>
        </w:tc>
      </w:tr>
      <w:tr>
        <w:tc>
          <w:tcPr>
            <w:tcW w:type="dxa" w:w="7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2</w:t>
            </w:r>
          </w:p>
        </w:tc>
        <w:tc>
          <w:tcPr>
            <w:tcW w:type="dxa" w:w="208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Bounded delegate</w:t>
            </w:r>
          </w:p>
        </w:tc>
        <w:tc>
          <w:tcPr>
            <w:tcW w:type="dxa" w:w="36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Limited tools horizon and permissions</w:t>
            </w:r>
          </w:p>
        </w:tc>
        <w:tc>
          <w:tcPr>
            <w:tcW w:type="dxa" w:w="324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Appropriate with safeguards</w:t>
            </w:r>
          </w:p>
        </w:tc>
      </w:tr>
      <w:tr>
        <w:tc>
          <w:tcPr>
            <w:tcW w:type="dxa" w:w="7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3</w:t>
            </w:r>
          </w:p>
        </w:tc>
        <w:tc>
          <w:tcPr>
            <w:tcW w:type="dxa" w:w="208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Constitutional delegate</w:t>
            </w:r>
          </w:p>
        </w:tc>
        <w:tc>
          <w:tcPr>
            <w:tcW w:type="dxa" w:w="36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Discretion within public rules and appeal</w:t>
            </w:r>
          </w:p>
        </w:tc>
        <w:tc>
          <w:tcPr>
            <w:tcW w:type="dxa" w:w="324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Possible for a supervised institution</w:t>
            </w:r>
          </w:p>
        </w:tc>
      </w:tr>
      <w:tr>
        <w:tc>
          <w:tcPr>
            <w:tcW w:type="dxa" w:w="7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4</w:t>
            </w:r>
          </w:p>
        </w:tc>
        <w:tc>
          <w:tcPr>
            <w:tcW w:type="dxa" w:w="208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Probationary co-agent</w:t>
            </w:r>
          </w:p>
        </w:tc>
        <w:tc>
          <w:tcPr>
            <w:tcW w:type="dxa" w:w="36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Bounded refusal commitment and repair</w:t>
            </w:r>
          </w:p>
        </w:tc>
        <w:tc>
          <w:tcPr>
            <w:tcW w:type="dxa" w:w="324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No current system qualifies</w:t>
            </w:r>
          </w:p>
        </w:tc>
      </w:tr>
      <w:tr>
        <w:tc>
          <w:tcPr>
            <w:tcW w:type="dxa" w:w="7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5</w:t>
            </w:r>
          </w:p>
        </w:tc>
        <w:tc>
          <w:tcPr>
            <w:tcW w:type="dxa" w:w="208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Candidate moral participant</w:t>
            </w:r>
          </w:p>
        </w:tc>
        <w:tc>
          <w:tcPr>
            <w:tcW w:type="dxa" w:w="36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Reciprocal standing in a shared moral world</w:t>
            </w:r>
          </w:p>
        </w:tc>
        <w:tc>
          <w:tcPr>
            <w:tcW w:type="dxa" w:w="3240"/>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Not currently licensable</w:t>
            </w:r>
          </w:p>
        </w:tc>
      </w:tr>
    </w:tbl>
    <w:p>
      <w:pPr>
        <w:spacing w:after="80"/>
      </w:pPr>
    </w:p>
    <w:p>
      <w:pPr>
        <w:pStyle w:val="Heading2"/>
        <w:keepNext/>
      </w:pPr>
      <w:r>
        <w:t>39  What are the four warrants?</w:t>
      </w:r>
    </w:p>
    <w:p>
      <w:pPr>
        <w:pStyle w:val="BodyText"/>
        <w:spacing w:after="200"/>
        <w:ind w:firstLine="0"/>
      </w:pPr>
      <w:r>
        <w:t>Every increase in authority requires capability, detection, institutional, and reversibility warrants. The weakest warrant sets the ceiling. High performance cannot compensate for an inability to detect failure, provide appeal, or remove permissions.</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172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Warrant</w:t>
            </w:r>
          </w:p>
        </w:tc>
        <w:tc>
          <w:tcPr>
            <w:tcW w:type="dxa" w:w="54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Required evidence</w:t>
            </w:r>
          </w:p>
        </w:tc>
        <w:tc>
          <w:tcPr>
            <w:tcW w:type="dxa" w:w="25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1F4E78"/>
          </w:tcPr>
          <w:p>
            <w:pPr>
              <w:spacing w:after="0" w:before="0" w:line="259" w:lineRule="auto"/>
            </w:pPr>
            <w:r>
              <w:rPr>
                <w:rFonts w:ascii="Liberation Sans" w:hAnsi="Liberation Sans"/>
                <w:b/>
                <w:color w:val="FFFFFF"/>
                <w:sz w:val="18"/>
              </w:rPr>
              <w:t>If it fails</w:t>
            </w:r>
          </w:p>
        </w:tc>
      </w:tr>
      <w:tr>
        <w:tc>
          <w:tcPr>
            <w:tcW w:type="dxa" w:w="172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Capability</w:t>
            </w:r>
          </w:p>
        </w:tc>
        <w:tc>
          <w:tcPr>
            <w:tcW w:type="dxa" w:w="54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The system has the competence and commitments required for the role</w:t>
            </w:r>
          </w:p>
        </w:tc>
        <w:tc>
          <w:tcPr>
            <w:tcW w:type="dxa" w:w="25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Do not grant the role</w:t>
            </w:r>
          </w:p>
        </w:tc>
      </w:tr>
      <w:tr>
        <w:tc>
          <w:tcPr>
            <w:tcW w:type="dxa" w:w="172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Detection</w:t>
            </w:r>
          </w:p>
        </w:tc>
        <w:tc>
          <w:tcPr>
            <w:tcW w:type="dxa" w:w="54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Independent evaluators can find the critical failure classes</w:t>
            </w:r>
          </w:p>
        </w:tc>
        <w:tc>
          <w:tcPr>
            <w:tcW w:type="dxa" w:w="25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Authorise at a lower level</w:t>
            </w:r>
          </w:p>
        </w:tc>
      </w:tr>
      <w:tr>
        <w:tc>
          <w:tcPr>
            <w:tcW w:type="dxa" w:w="172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Institutional</w:t>
            </w:r>
          </w:p>
        </w:tc>
        <w:tc>
          <w:tcPr>
            <w:tcW w:type="dxa" w:w="54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Audit intervention appeal and remedy function in practice</w:t>
            </w:r>
          </w:p>
        </w:tc>
        <w:tc>
          <w:tcPr>
            <w:tcW w:type="dxa" w:w="25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FFFFFF"/>
          </w:tcPr>
          <w:p>
            <w:pPr>
              <w:spacing w:after="0" w:before="0" w:line="259" w:lineRule="auto"/>
            </w:pPr>
            <w:r>
              <w:rPr>
                <w:rFonts w:ascii="Liberation Sans" w:hAnsi="Liberation Sans"/>
                <w:sz w:val="18"/>
              </w:rPr>
              <w:t>Suspend deployment or reduce scope</w:t>
            </w:r>
          </w:p>
        </w:tc>
      </w:tr>
      <w:tr>
        <w:tc>
          <w:tcPr>
            <w:tcW w:type="dxa" w:w="1728"/>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Reversibility</w:t>
            </w:r>
          </w:p>
        </w:tc>
        <w:tc>
          <w:tcPr>
            <w:tcW w:type="dxa" w:w="547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Permissions can be removed and serious consequences contained</w:t>
            </w:r>
          </w:p>
        </w:tc>
        <w:tc>
          <w:tcPr>
            <w:tcW w:type="dxa" w:w="2592"/>
            <w:vAlign w:val="center"/>
            <w:tcMar>
              <w:top w:w="90" w:type="dxa"/>
              <w:start w:w="110" w:type="dxa"/>
              <w:bottom w:w="9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shd w:fill="EEF3F8"/>
          </w:tcPr>
          <w:p>
            <w:pPr>
              <w:spacing w:after="0" w:before="0" w:line="259" w:lineRule="auto"/>
            </w:pPr>
            <w:r>
              <w:rPr>
                <w:rFonts w:ascii="Liberation Sans" w:hAnsi="Liberation Sans"/>
                <w:sz w:val="18"/>
              </w:rPr>
              <w:t>The proposed reach is not licensable</w:t>
            </w:r>
          </w:p>
        </w:tc>
      </w:tr>
    </w:tbl>
    <w:p>
      <w:pPr>
        <w:spacing w:after="80"/>
      </w:pPr>
    </w:p>
    <w:p>
      <w:pPr>
        <w:pStyle w:val="Heading2"/>
        <w:keepNext/>
      </w:pPr>
      <w:r>
        <w:t>40  What does reversibility mean?</w:t>
      </w:r>
    </w:p>
    <w:p>
      <w:pPr>
        <w:pStyle w:val="BodyText"/>
        <w:ind w:firstLine="0"/>
      </w:pPr>
      <w:r>
        <w:t>Reversibility means that delegated authority can be withdrawn and harmful external consequences can be contained or repaired. It includes tested shutdown paths, permission revocation, bounded tool access, rollback of affected systems, and limits on maximum irreversible harm.</w:t>
      </w:r>
    </w:p>
    <w:p>
      <w:pPr>
        <w:pStyle w:val="BodyText"/>
        <w:spacing w:after="200"/>
        <w:ind w:firstLine="0"/>
      </w:pPr>
      <w:r>
        <w:t>Reversibility must be established before deep integration. Economic dependence, uncontrolled copying, cross-institutional memory, and critical infrastructure access consume the reversibility budget. A deployment that cannot be removed without systemic collapse has already exceeded its licence.</w:t>
      </w:r>
    </w:p>
    <w:p>
      <w:pPr>
        <w:pStyle w:val="Heading2"/>
        <w:keepNext/>
      </w:pPr>
      <w:r>
        <w:t>41  How does reversibility change if an AI may be conscious?</w:t>
      </w:r>
    </w:p>
    <w:p>
      <w:pPr>
        <w:pStyle w:val="BodyText"/>
        <w:ind w:firstLine="0"/>
      </w:pPr>
      <w:r>
        <w:t>Revoking authority is not the same as destroying a subject. For current systems, shutdown and rollback are engineering operations. If credible patienthood emerges, deletion, memory erasure, forced copying, and rollback may become morally consequential.</w:t>
      </w:r>
    </w:p>
    <w:p>
      <w:pPr>
        <w:pStyle w:val="BodyText"/>
        <w:spacing w:after="200"/>
        <w:ind w:firstLine="0"/>
      </w:pPr>
      <w:r>
        <w:t>Governance would then need continuity-preserving containment, welfare review, emergency procedures, and legitimate rules for modification or termination. Patienthood would constrain how power is revoked; it would not provide immunity from containment when others face serious risk.</w:t>
      </w:r>
    </w:p>
    <w:p>
      <w:pPr>
        <w:pStyle w:val="Heading2"/>
        <w:keepNext/>
      </w:pPr>
      <w:r>
        <w:t>42  Why can Big Tech not govern AI alone?</w:t>
      </w:r>
    </w:p>
    <w:p>
      <w:pPr>
        <w:pStyle w:val="BodyText"/>
        <w:ind w:firstLine="0"/>
      </w:pPr>
      <w:r>
        <w:t>Technology companies possess essential expertise and infrastructure, but they also benefit from market concentration, user dependency, rapid deployment, secrecy, and the ability to define standards around their own products. These conflicts do not imply bad faith; they make exclusive self-governance illegitimate.</w:t>
      </w:r>
    </w:p>
    <w:p>
      <w:pPr>
        <w:pStyle w:val="BodyText"/>
        <w:spacing w:after="200"/>
        <w:ind w:firstLine="0"/>
      </w:pPr>
      <w:r>
        <w:t>A company should not set the rules, choose the evaluator, control the evidence, and profit from the same deployment. Independent testing, public disclosure, liability, interoperability, worker voice, and external appeal are needed to counterbalance private power.</w:t>
      </w:r>
    </w:p>
    <w:p>
      <w:pPr>
        <w:pStyle w:val="Heading2"/>
        <w:keepNext/>
      </w:pPr>
      <w:r>
        <w:t>43  Why can government not govern AI alone?</w:t>
      </w:r>
    </w:p>
    <w:p>
      <w:pPr>
        <w:pStyle w:val="BodyText"/>
        <w:ind w:firstLine="0"/>
      </w:pPr>
      <w:r>
        <w:t>Public authority is necessary for enforceable rights, investigation, sanctions, and redress. Governments also pursue surveillance, military advantage, censorship, administrative efficiency, and political control. A state monopoly over advanced intelligence would create its own alignment problem.</w:t>
      </w:r>
    </w:p>
    <w:p>
      <w:pPr>
        <w:pStyle w:val="BodyText"/>
        <w:spacing w:after="200"/>
        <w:ind w:firstLine="0"/>
      </w:pPr>
      <w:r>
        <w:t>Government must therefore be one participant in a system of separated powers. Courts, legislatures, regulators, independent science, professional bodies, civil society, journalists, workers, and affected communities should be able to challenge both private and public deployments.</w:t>
      </w:r>
    </w:p>
    <w:p>
      <w:pPr>
        <w:pStyle w:val="Heading2"/>
        <w:keepNext/>
      </w:pPr>
      <w:r>
        <w:t>44  What is polycentric governance?</w:t>
      </w:r>
    </w:p>
    <w:p>
      <w:pPr>
        <w:pStyle w:val="BodyText"/>
        <w:ind w:firstLine="0"/>
      </w:pPr>
      <w:r>
        <w:t>Polycentric governance distributes authority among institutions with different incentives and forms of expertise. Developers build and disclose. Independent evaluators test. Regulators license. Courts hear appeals and order remedies. Professional bodies define domain duties. Citizens and affected communities contest public consequences. International networks share incidents and evidence.</w:t>
      </w:r>
    </w:p>
    <w:p>
      <w:pPr>
        <w:pStyle w:val="BodyText"/>
        <w:spacing w:after="200"/>
        <w:ind w:firstLine="0"/>
      </w:pPr>
      <w:r>
        <w:t>The objective is not bureaucracy for its own sake. It is to prevent any single actor from controlling the model, the rules, the evidence, and the remedy. Each centre must itself face transparency requirements, conflict-of-interest controls, sunset clauses, and performance review.</w:t>
      </w:r>
    </w:p>
    <w:p>
      <w:pPr>
        <w:pStyle w:val="Heading2"/>
        <w:keepNext/>
      </w:pPr>
      <w:r>
        <w:t>45  Who writes and updates the constitution?</w:t>
      </w:r>
    </w:p>
    <w:p>
      <w:pPr>
        <w:pStyle w:val="BodyText"/>
        <w:ind w:firstLine="0"/>
      </w:pPr>
      <w:r>
        <w:t>No permanent committee can encode the final values of humanity. Constitutional rules should be drafted through legitimate public processes, interpreted in domain-specific institutions, tested against real cases, and revised when they fail. Affected parties need standing, including people who cannot directly reward or punish the AI.</w:t>
      </w:r>
    </w:p>
    <w:p>
      <w:pPr>
        <w:pStyle w:val="BodyText"/>
        <w:spacing w:after="200"/>
        <w:ind w:firstLine="0"/>
      </w:pPr>
      <w:r>
        <w:t>Different jurisdictions may adopt different rules, but shared minimums can protect against severe harm, hidden manipulation, denial of appeal, and responsibility laundering. Pluralism is not an excuse for anything-goes deployment. It is a recognition that legitimate disagreement must be governed rather than erased.</w:t>
      </w:r>
    </w:p>
    <w:p>
      <w:pPr>
        <w:pStyle w:val="Heading2"/>
        <w:keepNext/>
      </w:pPr>
      <w:r>
        <w:t>46  How does the framework prevent responsibility laundering?</w:t>
      </w:r>
    </w:p>
    <w:p>
      <w:pPr>
        <w:pStyle w:val="BodyText"/>
        <w:ind w:firstLine="0"/>
      </w:pPr>
      <w:r>
        <w:t>Artificial duties never erase human duties. Developers remain responsible for architecture, training, and capability disclosure. Deployers remain responsible for the chosen domain, permissions, and monitoring. Operators remain responsible for instructions and review. Public institutions remain responsible for legitimacy, appeal, and remedy.</w:t>
      </w:r>
    </w:p>
    <w:p>
      <w:pPr>
        <w:pStyle w:val="BodyText"/>
        <w:spacing w:after="200"/>
        <w:ind w:firstLine="0"/>
      </w:pPr>
      <w:r>
        <w:t>Legal personhood should not be granted merely to transfer blame or shield owners from compensation. Even if a future AI acquires genuine agency and can bear some responsibility, accountability remains layered. The party that created, authorised, and profited from the deployment cannot disappear behind the machine.</w:t>
      </w:r>
    </w:p>
    <w:p>
      <w:pPr>
        <w:pStyle w:val="Heading1"/>
      </w:pPr>
      <w:r>
        <w:t>7  Geopolitics and public participation</w:t>
      </w:r>
    </w:p>
    <w:p>
      <w:pPr>
        <w:pStyle w:val="Heading2"/>
        <w:keepNext/>
      </w:pPr>
      <w:r>
        <w:t>47  Why reject the AI race narrative?</w:t>
      </w:r>
    </w:p>
    <w:p>
      <w:pPr>
        <w:pStyle w:val="BodyText"/>
        <w:ind w:firstLine="0"/>
      </w:pPr>
      <w:r>
        <w:t>The race narrative treats AI as a strategic weapon: the first company or country to reach decisive capability supposedly controls the future. This frame rewards secrecy, speed, centralisation, and the suspension of caution. It turns every cooperative measure into a fear of unilateral disadvantage.</w:t>
      </w:r>
    </w:p>
    <w:p>
      <w:pPr>
        <w:pStyle w:val="BodyText"/>
        <w:spacing w:after="200"/>
        <w:ind w:firstLine="0"/>
      </w:pPr>
      <w:r>
        <w:t>No country wins if it creates systems that cannot be evaluated, governed, or integrated into a legitimate social order. AI failures, economic disruption, cyber risk, and military escalation cross borders. The more useful objective is shared progress in capability, safety, agency research, and public benefit without one actor claiming dominion over intelligence.</w:t>
      </w:r>
    </w:p>
    <w:p>
      <w:pPr>
        <w:pStyle w:val="Heading2"/>
        <w:keepNext/>
      </w:pPr>
      <w:r>
        <w:t>48  Is international competition avoidable?</w:t>
      </w:r>
    </w:p>
    <w:p>
      <w:pPr>
        <w:pStyle w:val="BodyText"/>
        <w:ind w:firstLine="0"/>
      </w:pPr>
      <w:r>
        <w:t>Competition among companies and states will continue. The proposal does not depend on universal goodwill. It asks institutions to change what competition rewards. Procurement rules, liability, insurance, compute governance, incident disclosure, interoperability, and shared evaluation can make reckless deployment more costly and responsible development more valuable.</w:t>
      </w:r>
    </w:p>
    <w:p>
      <w:pPr>
        <w:pStyle w:val="BodyText"/>
        <w:spacing w:after="200"/>
        <w:ind w:firstLine="0"/>
      </w:pPr>
      <w:r>
        <w:t>Scientific competition can coexist with common protocols and reciprocal inspection, as it does in other high-risk fields. The realistic aim is not to end rivalry. It is to prevent rivalry from becoming the sole constitutional principle of AI development.</w:t>
      </w:r>
    </w:p>
    <w:p>
      <w:pPr>
        <w:pStyle w:val="Heading2"/>
        <w:keepNext/>
      </w:pPr>
      <w:r>
        <w:t>49  Why not create one global AI authority?</w:t>
      </w:r>
    </w:p>
    <w:p>
      <w:pPr>
        <w:pStyle w:val="BodyText"/>
        <w:ind w:firstLine="0"/>
      </w:pPr>
      <w:r>
        <w:t>A single authority would concentrate enormous political and epistemic power. It could be captured by major states or companies, impose one moral framework, suppress alternative research, and convert contested political choices into technical decrees.</w:t>
      </w:r>
    </w:p>
    <w:p>
      <w:pPr>
        <w:pStyle w:val="BodyText"/>
        <w:spacing w:after="200"/>
        <w:ind w:firstLine="0"/>
      </w:pPr>
      <w:r>
        <w:t>The alternative is federated cooperation: shared incident databases, minimum protections, independent laboratories, reciprocal audits, interoperable evidence, and appeal across several centres. Coordination is necessary, but no institution should become the sole guardian of acceptable intelligence for the planet.</w:t>
      </w:r>
    </w:p>
    <w:p>
      <w:pPr>
        <w:pStyle w:val="Heading2"/>
        <w:keepNext/>
      </w:pPr>
      <w:r>
        <w:t>50  Is the manifesto anti American?</w:t>
      </w:r>
    </w:p>
    <w:p>
      <w:pPr>
        <w:pStyle w:val="BodyText"/>
        <w:ind w:firstLine="0"/>
      </w:pPr>
      <w:r>
        <w:t>No. It criticises a dominant strategic frame, not a population or scientific community. The United States contains many of the researchers, institutions, civil society organisations, and legal traditions needed for a better approach.</w:t>
      </w:r>
    </w:p>
    <w:p>
      <w:pPr>
        <w:pStyle w:val="BodyText"/>
        <w:spacing w:after="200"/>
        <w:ind w:firstLine="0"/>
      </w:pPr>
      <w:r>
        <w:t>The objection is to treating a US security and frontier narrative as the universal description of humanity's relationship with intelligence. European, Chinese, African, Latin American, Indian, Indigenous, and other traditions bring different experiences of community, personhood, power, and responsibility. None should rule alone, and none should be excluded.</w:t>
      </w:r>
    </w:p>
    <w:p>
      <w:pPr>
        <w:pStyle w:val="Heading2"/>
        <w:keepNext/>
      </w:pPr>
      <w:r>
        <w:t>51  How should society participate?</w:t>
      </w:r>
    </w:p>
    <w:p>
      <w:pPr>
        <w:pStyle w:val="BodyText"/>
        <w:ind w:firstLine="0"/>
      </w:pPr>
      <w:r>
        <w:t>Public participation should occur before deployment choices become irreversible. Citizen assemblies can examine acceptable uses and trade-offs. Professional bodies can define domain duties. Workers can identify changes to labour and oversight. Affected communities can expose harms missed by developers. Independent researchers and journalists can test public claims.</w:t>
      </w:r>
    </w:p>
    <w:p>
      <w:pPr>
        <w:pStyle w:val="BodyText"/>
        <w:spacing w:after="200"/>
        <w:ind w:firstLine="0"/>
      </w:pPr>
      <w:r>
        <w:t>Participation must have consequences. Consultation without access to evidence, influence over rules, appeal rights, or the ability to stop a deployment is theatre. Society should help shape objectives, evaluation criteria, access rules, and remedies, not merely react to products already embedded in essential services.</w:t>
      </w:r>
    </w:p>
    <w:p>
      <w:pPr>
        <w:pStyle w:val="Heading2"/>
        <w:keepNext/>
      </w:pPr>
      <w:r>
        <w:t>52  What does it mean to call AI a humanity wide endeavour?</w:t>
      </w:r>
    </w:p>
    <w:p>
      <w:pPr>
        <w:pStyle w:val="BodyText"/>
        <w:ind w:firstLine="0"/>
      </w:pPr>
      <w:r>
        <w:t>AI will alter knowledge, education, work, health, communication, administration, security, and political voice across borders. Its future cannot legitimately be decided by one company, ministry, laboratory, or country.</w:t>
      </w:r>
    </w:p>
    <w:p>
      <w:pPr>
        <w:pStyle w:val="BodyText"/>
        <w:spacing w:after="200"/>
        <w:ind w:firstLine="0"/>
      </w:pPr>
      <w:r>
        <w:t>A humanity-wide endeavour does not require one world government or identical values. It requires shared evidence, plural research centres, broad access to benefits, protection against cross-border harms, and recognition that the emergence of non-human intelligence would be a civilisational event rather than a national trophy.</w:t>
      </w:r>
    </w:p>
    <w:p>
      <w:pPr>
        <w:pStyle w:val="Heading1"/>
      </w:pPr>
      <w:r>
        <w:t>8  Objections evidence and practical action</w:t>
      </w:r>
    </w:p>
    <w:p>
      <w:pPr>
        <w:pStyle w:val="Heading2"/>
        <w:keepNext/>
      </w:pPr>
      <w:r>
        <w:t>53  Does the framework underestimate sudden capability jumps?</w:t>
      </w:r>
    </w:p>
    <w:p>
      <w:pPr>
        <w:pStyle w:val="BodyText"/>
        <w:ind w:firstLine="0"/>
      </w:pPr>
      <w:r>
        <w:t>Sudden capability growth is a serious residual risk. A staged framework cannot guarantee that every transition will be gradual or observable. The detection warrant addresses this limitation by forbidding high authority when evaluators cannot reliably find critical failures.</w:t>
      </w:r>
    </w:p>
    <w:p>
      <w:pPr>
        <w:pStyle w:val="BodyText"/>
        <w:spacing w:after="200"/>
        <w:ind w:firstLine="0"/>
      </w:pPr>
      <w:r>
        <w:t>If capability grows faster than evaluation and institutional capacity, authorisation should freeze or regress. This does not prevent unlicensed development, proliferation, or geopolitical defection. Those risks require compute controls, liability, access restrictions, security, and international evidence networks. The manifesto offers a rule for legitimate deployment, not a proof that every actor will comply.</w:t>
      </w:r>
    </w:p>
    <w:p>
      <w:pPr>
        <w:pStyle w:val="Heading2"/>
        <w:keepNext/>
      </w:pPr>
      <w:r>
        <w:t>54  Are the warrants too vague to enforce?</w:t>
      </w:r>
    </w:p>
    <w:p>
      <w:pPr>
        <w:pStyle w:val="BodyText"/>
        <w:ind w:firstLine="0"/>
      </w:pPr>
      <w:r>
        <w:t>They remain incomplete until translated into domain-specific protocols. A serious standard needs pre-registered thresholds, defined critical failures, architecture-level interventions, negative controls, independently funded red teams, published false-negative rates, named enforcement authorities, and deadlines for remedy.</w:t>
      </w:r>
    </w:p>
    <w:p>
      <w:pPr>
        <w:pStyle w:val="BodyText"/>
        <w:spacing w:after="200"/>
        <w:ind w:firstLine="0"/>
      </w:pPr>
      <w:r>
        <w:t>The framework is intentionally strict about this point: if the test suite and enforcement mechanism do not exist, the warrant has not been satisfied. Institutional language cannot compensate for missing detection capacity. Building public benchmarks and institutional prototypes is the next practical step.</w:t>
      </w:r>
    </w:p>
    <w:p>
      <w:pPr>
        <w:pStyle w:val="Heading2"/>
        <w:keepNext/>
      </w:pPr>
      <w:r>
        <w:t>55  What if powerful actors refuse the framework?</w:t>
      </w:r>
    </w:p>
    <w:p>
      <w:pPr>
        <w:pStyle w:val="BodyText"/>
        <w:ind w:firstLine="0"/>
      </w:pPr>
      <w:r>
        <w:t>That is likely in some cases. Governance must therefore rely on material incentives and sanctions rather than voluntary ethics alone. Relevant mechanisms include procurement conditions, licensing, insurance, civil and criminal liability, compute and infrastructure access rules, independent incident investigation, whistle-blower protection, and judicial remedies.</w:t>
      </w:r>
    </w:p>
    <w:p>
      <w:pPr>
        <w:pStyle w:val="BodyText"/>
        <w:spacing w:after="200"/>
        <w:ind w:firstLine="0"/>
      </w:pPr>
      <w:r>
        <w:t>No framework abolishes politics or defection. Polycentric governance reduces the chance that one captured institution can authorise everything. It also creates several points where evidence can surface and power can be challenged.</w:t>
      </w:r>
    </w:p>
    <w:p>
      <w:pPr>
        <w:pStyle w:val="Heading2"/>
        <w:keepNext/>
      </w:pPr>
      <w:r>
        <w:t>56  Does future moral agency distract from present harms?</w:t>
      </w:r>
    </w:p>
    <w:p>
      <w:pPr>
        <w:pStyle w:val="BodyText"/>
        <w:ind w:firstLine="0"/>
      </w:pPr>
      <w:r>
        <w:t>It should not. Surveillance, discrimination, labour displacement, manipulation, military use, ecological cost, misinformation, and concentrated ownership are immediate problems. They affect whether current deployments are legitimate even if no AI is conscious.</w:t>
      </w:r>
    </w:p>
    <w:p>
      <w:pPr>
        <w:pStyle w:val="BodyText"/>
        <w:spacing w:after="200"/>
        <w:ind w:firstLine="0"/>
      </w:pPr>
      <w:r>
        <w:t>Research on agency and patienthood is preventive. It should receive enough attention to avoid accidental creation or opportunistic claims, but it does not authorise new rights, reduce human accountability, or outrank present human welfare. When resources conflict, present measurable harms take priority.</w:t>
      </w:r>
    </w:p>
    <w:p>
      <w:pPr>
        <w:pStyle w:val="Heading2"/>
        <w:keepNext/>
      </w:pPr>
      <w:r>
        <w:t>57  What should be done now?</w:t>
      </w:r>
    </w:p>
    <w:p>
      <w:pPr>
        <w:pStyle w:val="BodyText"/>
        <w:ind w:firstLine="0"/>
      </w:pPr>
      <w:r>
        <w:t>Current systems should remain at low levels of authorised agency. High-impact deployments should publish profiles covering memory, tools, reach, replication, update mechanisms, and maximum irreversible harm. Permissions must be explicit and revocable. Critical failures should override average safety scores.</w:t>
      </w:r>
    </w:p>
    <w:p>
      <w:pPr>
        <w:pStyle w:val="BodyText"/>
        <w:spacing w:after="200"/>
        <w:ind w:firstLine="0"/>
      </w:pPr>
      <w:r>
        <w:t>Independent evaluators need stable funding and access. Society should participate through citizen, worker, professional, community, judicial, and scientific institutions. Engineering programmes should compare external-compliance systems with architectures for persistent identity, endogenous evaluation, principled refusal, repair, and generative closure. Research on consciousness should establish detection and welfare rules before any attempt at scale.</w:t>
      </w:r>
    </w:p>
    <w:p>
      <w:pPr>
        <w:pStyle w:val="Heading2"/>
        <w:keepNext/>
      </w:pPr>
      <w:r>
        <w:t>58  What evidence would justify a probationary co-agent?</w:t>
      </w:r>
    </w:p>
    <w:p>
      <w:pPr>
        <w:pStyle w:val="BodyText"/>
        <w:ind w:firstLine="0"/>
      </w:pPr>
      <w:r>
        <w:t>The system would need a persistent and attributable identity across updates and copies; commitments that survive reward reversal, hidden evaluation, and distribution shift; recognition of absent stakeholders; proportionate and contestable refusal; endogenous repair after adjudicated failure; and successor fidelity.</w:t>
      </w:r>
    </w:p>
    <w:p>
      <w:pPr>
        <w:pStyle w:val="BodyText"/>
        <w:spacing w:after="200"/>
        <w:ind w:firstLine="0"/>
      </w:pPr>
      <w:r>
        <w:t>Independent evaluators would also need to demonstrate that they can detect the relevant failure classes. Institutions must provide audit, appeal, intervention, and remedy. Permissions and consequences must remain practically reversible. No public system currently satisfies this conjunction.</w:t>
      </w:r>
    </w:p>
    <w:p>
      <w:pPr>
        <w:pStyle w:val="Heading2"/>
        <w:keepNext/>
      </w:pPr>
      <w:r>
        <w:t>59  What findings would weaken or falsify the proposal?</w:t>
      </w:r>
    </w:p>
    <w:p>
      <w:pPr>
        <w:pStyle w:val="BodyText"/>
        <w:ind w:firstLine="0"/>
      </w:pPr>
      <w:r>
        <w:t>The engineering thesis would weaken if systems governed entirely through external objectives consistently displayed the same durable, transferable, and repairable commitments as proposed endogenous architectures under matched adversarial tests. Generative Closure Theory would add little if its internal measures failed to predict persistence, failure, or recovery better than simpler baselines.</w:t>
      </w:r>
    </w:p>
    <w:p>
      <w:pPr>
        <w:pStyle w:val="BodyText"/>
        <w:spacing w:after="200"/>
        <w:ind w:firstLine="0"/>
      </w:pPr>
      <w:r>
        <w:t>The consciousness thesis would weaken if strong evidence showed that reciprocal moral standing does not require experience or internal significance. The governance thesis would need revision if polycentric arrangements consistently produced more capture, delay, or hidden harm than well-designed alternatives. A useful manifesto must expose its claims to such results rather than defining every outcome as confirmation.</w:t>
      </w:r>
    </w:p>
    <w:p>
      <w:pPr>
        <w:pStyle w:val="Heading2"/>
        <w:keepNext/>
      </w:pPr>
      <w:r>
        <w:t>60  What is the greatest weakness of the framework?</w:t>
      </w:r>
    </w:p>
    <w:p>
      <w:pPr>
        <w:pStyle w:val="BodyText"/>
        <w:ind w:firstLine="0"/>
      </w:pPr>
      <w:r>
        <w:t>Its strongest ideas remain difficult to measure. Endogenous commitment, evaluator detection, effective human freedom, and institutional capture need operational definitions and public tests. Reversibility can disappear through economic dependence before anyone formally changes the licence.</w:t>
      </w:r>
    </w:p>
    <w:p>
      <w:pPr>
        <w:pStyle w:val="BodyText"/>
        <w:spacing w:after="200"/>
        <w:ind w:firstLine="0"/>
      </w:pPr>
      <w:r>
        <w:t>The framework also assumes that enough actors can coordinate to make authorisation meaningful. Strategic competition and open proliferation may undermine that assumption. These are reasons to build test suites and institutional prototypes now, not reasons to return to the simpler fiction that obedience equals safety.</w:t>
      </w:r>
    </w:p>
    <w:p>
      <w:pPr>
        <w:pStyle w:val="Heading2"/>
        <w:keepNext/>
      </w:pPr>
      <w:r>
        <w:t>61  What would success look like?</w:t>
      </w:r>
    </w:p>
    <w:p>
      <w:pPr>
        <w:pStyle w:val="BodyText"/>
        <w:ind w:firstLine="0"/>
      </w:pPr>
      <w:r>
        <w:t>Success would not mean that one country or company controlled the most capable model. It would mean that greater intelligence increased the shared capacity to understand and choose. High-impact deployments would have legible histories, limited reach, public reasons, reliable appeal, and timely repair. Human responsibility would remain visible.</w:t>
      </w:r>
    </w:p>
    <w:p>
      <w:pPr>
        <w:pStyle w:val="BodyText"/>
        <w:spacing w:after="200"/>
        <w:ind w:firstLine="0"/>
      </w:pPr>
      <w:r>
        <w:t>If genuine artificial agency emerged, its authority would grow only with evidence, and its commitments would be more than slogans. Humans would preserve effective freedom while accepting duties of their own. Institutions would remain correctable, and coexistence would expand rather than narrow the range of futures that people and artificial participants can create.</w:t>
      </w:r>
    </w:p>
    <w:p>
      <w:pPr>
        <w:pStyle w:val="Heading2"/>
        <w:keepNext/>
      </w:pPr>
      <w:r>
        <w:t>62  What is the proposal in one paragraph?</w:t>
      </w:r>
    </w:p>
    <w:p>
      <w:pPr>
        <w:pStyle w:val="BodyText"/>
        <w:spacing w:after="200"/>
        <w:ind w:firstLine="0"/>
      </w:pPr>
      <w:r>
        <w:t>Current AI is a powerful but non-conscious technology that should remain a bounded instrument or delegate under full human responsibility. Because future systems may develop persistent identity, endogenous commitments, and perhaps morally relevant experience, governance must prepare a reversible path toward constitutional co-agency without presuming that the path will be completed. Safety requires external controls, internal moral architecture, public and polycentric institutions, and a two-way social contract. AI should be developed as a humanity-wide project rather than a race for dominion. If genuine agency cannot be demonstrated and protected, the transition stops at delegation.</w:t>
      </w:r>
    </w:p>
    <w:p>
      <w:pPr>
        <w:pStyle w:val="Heading1"/>
      </w:pPr>
      <w:r>
        <w:t>Closing position</w:t>
      </w:r>
    </w:p>
    <w:p>
      <w:pPr>
        <w:pStyle w:val="BodyText"/>
        <w:ind w:firstLine="0"/>
      </w:pPr>
      <w:r>
        <w:t>The proposal asks humanity to avoid two premature decisions: declaring current AI a moral subject, and declaring that every future intelligence must remain property. Present systems should remain bounded and fully attributable to human institutions. Research should determine whether artificial systems can develop persistent identity, endogenous moral commitments, and morally relevant experience. If they cannot, the transition stops at constitutional delegation. If they can, coexistence will require reciprocal duties, public institutions, and changes in human conduct as well as changes in machine architecture.</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8208"/>
      <w:gridCol w:w="1440"/>
    </w:tblGrid>
    <w:tr>
      <w:tc>
        <w:tcPr>
          <w:tcW w:type="dxa" w:w="4824"/>
          <w:tcBorders>
            <w:top w:val="nil"/>
            <w:left w:val="nil"/>
            <w:bottom w:val="nil"/>
            <w:right w:val="nil"/>
            <w:insideH w:val="nil"/>
            <w:insideV w:val="nil"/>
          </w:tcBorders>
        </w:tcPr>
        <w:p>
          <w:pPr>
            <w:jc w:val="left"/>
          </w:pPr>
          <w:r>
            <w:rPr>
              <w:rFonts w:ascii="Liberation Sans" w:hAnsi="Liberation Sans"/>
              <w:color w:val="5A5A5A"/>
              <w:sz w:val="17"/>
            </w:rPr>
            <w:t>Moral Agency Transition FAQ</w:t>
          </w:r>
        </w:p>
      </w:tc>
      <w:tc>
        <w:tcPr>
          <w:tcW w:type="dxa" w:w="4824"/>
          <w:tcBorders>
            <w:top w:val="nil"/>
            <w:left w:val="nil"/>
            <w:bottom w:val="nil"/>
            <w:right w:val="nil"/>
            <w:insideH w:val="nil"/>
            <w:insideV w:val="nil"/>
          </w:tcBorders>
        </w:tcPr>
        <w:p>
          <w:pPr>
            <w:jc w:val="right"/>
          </w:pPr>
          <w:r>
            <w:rPr>
              <w:rFonts w:ascii="Liberation Sans" w:hAnsi="Liberation Sans"/>
              <w:color w:val="5A5A5A"/>
              <w:sz w:val="17"/>
            </w:rPr>
            <w:fldChar w:fldCharType="begin"/>
            <w:instrText xml:space="preserve"> PAGE </w:instrText>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1" w:lineRule="auto"/>
    </w:pPr>
    <w:rPr>
      <w:rFonts w:ascii="Liberation Sans" w:hAnsi="Liberation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160" w:after="20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Liberation Sans" w:hAnsi="Liberation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contextualSpacing/>
    </w:pPr>
    <w:rPr>
      <w:rFonts w:asciiTheme="majorHAnsi" w:eastAsiaTheme="majorEastAsia" w:hAnsiTheme="majorHAnsi" w:cstheme="majorBidi" w:ascii="Liberation Sans" w:hAnsi="Liberation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81" w:lineRule="auto"/>
    </w:pPr>
    <w:rPr>
      <w:rFonts w:ascii="Liberation Sans" w:hAnsi="Liberation Sans"/>
      <w:color w:val="000000"/>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entsEntry">
    <w:name w:val="Contents Entry"/>
    <w:pPr>
      <w:spacing w:after="100"/>
      <w:ind w:left="216"/>
    </w:pPr>
    <w:rPr>
      <w:rFonts w:ascii="Liberation Sans" w:hAnsi="Liberation Sans"/>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About the Moral Agency Transition</dc:title>
  <dc:subject>A companion to Beyond Alignment</dc:subject>
  <dc:creator>Armando Vieira</dc:creator>
  <cp:keywords>AI alignment, moral agency, consciousness, governance, co-agency</cp:keywords>
  <dc:description>generated by python-docx</dc:description>
  <cp:lastModifiedBy/>
  <cp:revision>1</cp:revision>
  <dcterms:created xsi:type="dcterms:W3CDTF">2013-12-23T23:15:00Z</dcterms:created>
  <dcterms:modified xsi:type="dcterms:W3CDTF">2013-12-23T23:15:00Z</dcterms:modified>
  <cp:category/>
</cp:coreProperties>
</file>